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Alex Romeo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Messenger Desk Seat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The Messenger Desk Seat redefines what tools are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necessary in order to work outside of a typical office.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It redefines what a chair and desk are in aesthetic, but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maintains their function. The Messenger Desk Seat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creates a proper workstation complete with flat work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surface, seating, and storage for tools in one compact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mobile product. Similar to the messenger bag,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it allows the user easily transport their work, tools,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workstation in one product.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